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F8" w:rsidRPr="00182BE6" w:rsidRDefault="00201BF8" w:rsidP="001C2D9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490D3E" w:rsidRDefault="00490D3E" w:rsidP="007763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ЖЕТІСУ ӨҢІРІНІҢ </w:t>
      </w:r>
      <w:r w:rsidR="00802B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ЕМДІК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-САУЫҚТЫРУ ОРЫНДАРЫНЫҢ</w:t>
      </w:r>
      <w:r w:rsidR="00802B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ҚАЗІРГІ ЖАҒДАЙЫ</w:t>
      </w:r>
    </w:p>
    <w:p w:rsidR="00490D3E" w:rsidRDefault="005F2689" w:rsidP="0077634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F2689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490D3E" w:rsidRPr="00490D3E" w:rsidRDefault="007B11FB" w:rsidP="00490D3E">
      <w:pPr>
        <w:pStyle w:val="11"/>
        <w:rPr>
          <w:rFonts w:cs="Times New Roman"/>
          <w:sz w:val="20"/>
          <w:szCs w:val="20"/>
          <w:lang w:val="kk-KZ"/>
        </w:rPr>
      </w:pPr>
      <w:r w:rsidRPr="007B11FB">
        <w:rPr>
          <w:b/>
          <w:sz w:val="20"/>
          <w:szCs w:val="20"/>
          <w:lang w:val="kk-KZ"/>
        </w:rPr>
        <w:t xml:space="preserve"> </w:t>
      </w:r>
      <w:r w:rsidRPr="007B11FB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490D3E" w:rsidRPr="00490D3E">
        <w:rPr>
          <w:b/>
          <w:sz w:val="20"/>
          <w:szCs w:val="20"/>
          <w:lang w:val="kk-KZ"/>
        </w:rPr>
        <w:t>Омаров Қ.М.</w:t>
      </w:r>
      <w:r w:rsidR="00490D3E" w:rsidRPr="00490D3E">
        <w:rPr>
          <w:rFonts w:cs="Times New Roman"/>
          <w:b/>
          <w:bCs/>
          <w:sz w:val="20"/>
          <w:szCs w:val="20"/>
          <w:lang w:val="kk-KZ"/>
        </w:rPr>
        <w:t xml:space="preserve"> – </w:t>
      </w:r>
      <w:r w:rsidR="00490D3E">
        <w:rPr>
          <w:rFonts w:cs="Times New Roman"/>
          <w:bCs/>
          <w:sz w:val="20"/>
          <w:szCs w:val="20"/>
          <w:lang w:val="kk-KZ"/>
        </w:rPr>
        <w:t>.п.ғ.к.</w:t>
      </w:r>
      <w:r w:rsidR="00490D3E" w:rsidRPr="00490D3E">
        <w:rPr>
          <w:rFonts w:cs="Times New Roman"/>
          <w:bCs/>
          <w:sz w:val="20"/>
          <w:szCs w:val="20"/>
          <w:lang w:val="kk-KZ"/>
        </w:rPr>
        <w:t>,</w:t>
      </w:r>
      <w:r w:rsidR="00490D3E" w:rsidRPr="00490D3E">
        <w:rPr>
          <w:rFonts w:cs="Times New Roman"/>
          <w:sz w:val="20"/>
          <w:szCs w:val="20"/>
          <w:lang w:val="kk-KZ"/>
        </w:rPr>
        <w:t>доцент</w:t>
      </w:r>
      <w:r w:rsidR="00490D3E">
        <w:rPr>
          <w:rFonts w:cs="Times New Roman"/>
          <w:sz w:val="20"/>
          <w:szCs w:val="20"/>
          <w:lang w:val="kk-KZ"/>
        </w:rPr>
        <w:t xml:space="preserve"> м.а.,</w:t>
      </w:r>
    </w:p>
    <w:p w:rsidR="005F2689" w:rsidRPr="00490D3E" w:rsidRDefault="00490D3E" w:rsidP="00490D3E">
      <w:pPr>
        <w:pStyle w:val="11"/>
        <w:jc w:val="center"/>
        <w:rPr>
          <w:rFonts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Абай ат.   ҚазҰПУ </w:t>
      </w:r>
      <w:r w:rsidR="005F2689" w:rsidRPr="00490D3E">
        <w:rPr>
          <w:rFonts w:cs="Times New Roman"/>
          <w:i/>
          <w:sz w:val="20"/>
          <w:szCs w:val="20"/>
          <w:lang w:val="kk-KZ"/>
        </w:rPr>
        <w:tab/>
      </w:r>
    </w:p>
    <w:p w:rsidR="00490D3E" w:rsidRDefault="007B11FB" w:rsidP="00490D3E">
      <w:pPr>
        <w:pStyle w:val="ac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11F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</w:t>
      </w:r>
      <w:r w:rsidR="00490D3E">
        <w:rPr>
          <w:rFonts w:ascii="Times New Roman" w:hAnsi="Times New Roman" w:cs="Times New Roman"/>
          <w:b/>
          <w:sz w:val="20"/>
          <w:szCs w:val="20"/>
          <w:lang w:val="kk-KZ"/>
        </w:rPr>
        <w:t>ЕсенғабыловаА.Қ.</w:t>
      </w:r>
      <w:r w:rsidR="00134109" w:rsidRPr="00490D3E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="00490D3E" w:rsidRPr="00490D3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PhD доктор</w:t>
      </w:r>
      <w:r w:rsidR="00490D3E" w:rsidRPr="00EE0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</w:p>
    <w:p w:rsidR="00490D3E" w:rsidRDefault="007B11FB" w:rsidP="00490D3E">
      <w:pPr>
        <w:pStyle w:val="ac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7B11F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</w:t>
      </w:r>
      <w:r w:rsidR="00490D3E" w:rsidRPr="00490D3E">
        <w:rPr>
          <w:rFonts w:ascii="Times New Roman" w:hAnsi="Times New Roman" w:cs="Times New Roman"/>
          <w:i/>
          <w:sz w:val="20"/>
          <w:szCs w:val="20"/>
          <w:lang w:val="kk-KZ"/>
        </w:rPr>
        <w:t>Л.Н. Гумилев ат. ЕҰУ</w:t>
      </w:r>
      <w:r w:rsidR="00490D3E">
        <w:rPr>
          <w:rFonts w:ascii="Times New Roman" w:hAnsi="Times New Roman" w:cs="Times New Roman"/>
          <w:i/>
          <w:sz w:val="20"/>
          <w:szCs w:val="20"/>
          <w:lang w:val="kk-KZ"/>
        </w:rPr>
        <w:t>.</w:t>
      </w:r>
    </w:p>
    <w:p w:rsidR="00201BF8" w:rsidRPr="005F2689" w:rsidRDefault="00201BF8" w:rsidP="00490D3E">
      <w:pPr>
        <w:pStyle w:val="ac"/>
        <w:rPr>
          <w:rFonts w:ascii="Times New Roman" w:hAnsi="Times New Roman" w:cs="Times New Roman"/>
          <w:sz w:val="24"/>
          <w:szCs w:val="28"/>
          <w:lang w:val="kk-KZ"/>
        </w:rPr>
      </w:pPr>
    </w:p>
    <w:p w:rsidR="00201BF8" w:rsidRPr="007B11FB" w:rsidRDefault="00201BF8" w:rsidP="007B11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AD8" w:rsidRDefault="00BD5DE8" w:rsidP="00A64AC5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53B">
        <w:rPr>
          <w:rFonts w:ascii="Times New Roman" w:hAnsi="Times New Roman" w:cs="Times New Roman"/>
          <w:sz w:val="28"/>
          <w:szCs w:val="28"/>
          <w:lang w:val="kk-KZ"/>
        </w:rPr>
        <w:t xml:space="preserve">Емдік минералды ресурстар тарапынан Алматы облысының аймағы республикадағы ең қолайлы аймақтардың бірі болып табылады. </w:t>
      </w:r>
      <w:r w:rsidR="006F55E6" w:rsidRPr="00C9453B">
        <w:rPr>
          <w:rFonts w:ascii="Times New Roman" w:hAnsi="Times New Roman" w:cs="Times New Roman"/>
          <w:sz w:val="28"/>
          <w:szCs w:val="28"/>
          <w:lang w:val="kk-KZ"/>
        </w:rPr>
        <w:t>Алматы облысында кең қолданысқа ие м</w:t>
      </w:r>
      <w:r w:rsidR="004E4A69" w:rsidRPr="00C9453B">
        <w:rPr>
          <w:rFonts w:ascii="Times New Roman" w:hAnsi="Times New Roman" w:cs="Times New Roman"/>
          <w:sz w:val="28"/>
          <w:szCs w:val="28"/>
          <w:lang w:val="kk-KZ"/>
        </w:rPr>
        <w:t xml:space="preserve">инералды сулар мен емдік балшықтар базасында </w:t>
      </w:r>
      <w:r w:rsidR="006F55E6" w:rsidRPr="00C9453B">
        <w:rPr>
          <w:rFonts w:ascii="Times New Roman" w:hAnsi="Times New Roman" w:cs="Times New Roman"/>
          <w:sz w:val="28"/>
          <w:szCs w:val="28"/>
          <w:lang w:val="kk-KZ"/>
        </w:rPr>
        <w:t>шипажайлар, профилакторилер</w:t>
      </w:r>
      <w:r w:rsidR="00F6300B" w:rsidRPr="00C945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F55E6" w:rsidRPr="00C9453B">
        <w:rPr>
          <w:rFonts w:ascii="Times New Roman" w:hAnsi="Times New Roman" w:cs="Times New Roman"/>
          <w:sz w:val="28"/>
          <w:szCs w:val="28"/>
          <w:lang w:val="kk-KZ"/>
        </w:rPr>
        <w:t>сонымен қатардемалыс үйлері менсумен емдеу, балшықпен емдеу орталықтары жұмыс істейді</w:t>
      </w:r>
      <w:r w:rsidR="00F6300B" w:rsidRPr="00C945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80B2D" w:rsidRPr="00965BB8"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Алматы облысында </w:t>
      </w:r>
      <w:r w:rsidR="00F80B2D" w:rsidRPr="00F2127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80B2D" w:rsidRPr="00965BB8">
        <w:rPr>
          <w:rFonts w:ascii="Times New Roman" w:hAnsi="Times New Roman" w:cs="Times New Roman"/>
          <w:sz w:val="28"/>
          <w:szCs w:val="28"/>
          <w:lang w:val="kk-KZ"/>
        </w:rPr>
        <w:t>6 шипажайлық-курорттық мекеме жұмыс істейд</w:t>
      </w:r>
      <w:r w:rsidR="00F80B2D">
        <w:rPr>
          <w:rFonts w:ascii="Times New Roman" w:hAnsi="Times New Roman" w:cs="Times New Roman"/>
          <w:sz w:val="28"/>
          <w:szCs w:val="28"/>
          <w:lang w:val="kk-KZ"/>
        </w:rPr>
        <w:t>і, оның ішінде</w:t>
      </w:r>
      <w:r w:rsidR="00F80B2D" w:rsidRPr="00965BB8">
        <w:rPr>
          <w:rFonts w:ascii="Times New Roman" w:hAnsi="Times New Roman" w:cs="Times New Roman"/>
          <w:sz w:val="28"/>
          <w:szCs w:val="28"/>
          <w:lang w:val="kk-KZ"/>
        </w:rPr>
        <w:t xml:space="preserve"> 10</w:t>
      </w:r>
      <w:r w:rsidR="00F80B2D">
        <w:rPr>
          <w:rFonts w:ascii="Times New Roman" w:hAnsi="Times New Roman" w:cs="Times New Roman"/>
          <w:sz w:val="28"/>
          <w:szCs w:val="28"/>
          <w:lang w:val="kk-KZ"/>
        </w:rPr>
        <w:t xml:space="preserve"> мекеме </w:t>
      </w:r>
      <w:r w:rsidR="00F80B2D" w:rsidRPr="00965BB8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қаласының аймағында </w:t>
      </w:r>
      <w:r w:rsidR="00F80B2D">
        <w:rPr>
          <w:rFonts w:ascii="Times New Roman" w:hAnsi="Times New Roman" w:cs="Times New Roman"/>
          <w:sz w:val="28"/>
          <w:szCs w:val="28"/>
          <w:lang w:val="kk-KZ"/>
        </w:rPr>
        <w:t>орналасқан.</w:t>
      </w:r>
      <w:r w:rsidR="000D6991" w:rsidRPr="00965BB8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қатар, 7 балалар шипажайы және 8 рекреациялық аймақтарда көптеген демалыс үйлері мен базалары</w:t>
      </w:r>
      <w:r w:rsidR="00F45D01" w:rsidRPr="00965BB8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</w:t>
      </w:r>
      <w:r w:rsidR="00A64A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4AC5" w:rsidRPr="00A64AC5" w:rsidRDefault="00A64AC5" w:rsidP="00A64AC5">
      <w:pPr>
        <w:spacing w:after="0" w:line="240" w:lineRule="auto"/>
        <w:ind w:firstLine="454"/>
        <w:contextualSpacing/>
        <w:jc w:val="both"/>
        <w:rPr>
          <w:lang w:val="kk-KZ"/>
        </w:rPr>
      </w:pPr>
    </w:p>
    <w:p w:rsidR="00BA3582" w:rsidRDefault="00983F56" w:rsidP="00CE2541">
      <w:pPr>
        <w:jc w:val="both"/>
        <w:rPr>
          <w:rFonts w:ascii="Tahoma" w:eastAsia="Times New Roman" w:hAnsi="Tahoma" w:cs="Tahoma"/>
          <w:noProof/>
          <w:color w:val="183C4F"/>
          <w:sz w:val="17"/>
          <w:szCs w:val="17"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Алматы Resort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 w:rsidRPr="00047AAD">
        <w:rPr>
          <w:rFonts w:ascii="Times New Roman" w:hAnsi="Times New Roman" w:cs="Times New Roman"/>
          <w:sz w:val="28"/>
          <w:szCs w:val="28"/>
          <w:lang w:val="kk-KZ"/>
        </w:rPr>
        <w:t>клиникалық шипажайы,</w:t>
      </w:r>
    </w:p>
    <w:p w:rsidR="00CE2541" w:rsidRPr="00A64AC5" w:rsidRDefault="00CE2541" w:rsidP="00A64AC5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kk-KZ" w:eastAsia="ru-RU"/>
        </w:rPr>
      </w:pPr>
      <w:r>
        <w:rPr>
          <w:rFonts w:ascii="Tahoma" w:eastAsia="Times New Roman" w:hAnsi="Tahoma" w:cs="Tahoma"/>
          <w:noProof/>
          <w:color w:val="183C4F"/>
          <w:sz w:val="17"/>
          <w:szCs w:val="1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09925" cy="1495425"/>
            <wp:effectExtent l="0" t="0" r="0" b="0"/>
            <wp:docPr id="3" name="Рисунок 3" descr="http://visitkazakhstan.kz/uploads/img/thumb_149872962936_hote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kazakhstan.kz/uploads/img/thumb_149872962936_hote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FB" w:rsidRDefault="007B11FB" w:rsidP="00CE25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541" w:rsidRPr="007B11FB" w:rsidRDefault="00983F56" w:rsidP="00CE25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Алатау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 w:rsidRPr="00047AAD">
        <w:rPr>
          <w:rFonts w:ascii="Times New Roman" w:hAnsi="Times New Roman" w:cs="Times New Roman"/>
          <w:sz w:val="28"/>
          <w:szCs w:val="28"/>
          <w:lang w:val="kk-KZ"/>
        </w:rPr>
        <w:t xml:space="preserve">емдік-сауықтыру кешені, </w:t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0"/>
      </w:tblGrid>
      <w:tr w:rsidR="00CE2541" w:rsidRPr="00CE2541" w:rsidTr="00CE2541">
        <w:tc>
          <w:tcPr>
            <w:tcW w:w="2475" w:type="dxa"/>
            <w:shd w:val="clear" w:color="auto" w:fill="auto"/>
            <w:hideMark/>
          </w:tcPr>
          <w:p w:rsidR="00CE2541" w:rsidRPr="00CE2541" w:rsidRDefault="00CE2541" w:rsidP="00CE25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83C4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52725" cy="1447800"/>
                  <wp:effectExtent l="0" t="0" r="0" b="0"/>
                  <wp:docPr id="9" name="Рисунок 9" descr="http://visitkazakhstan.kz/uploads/img/thumb_130854299231_hote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isitkazakhstan.kz/uploads/img/thumb_130854299231_hote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AD8" w:rsidRDefault="00CE7AD8" w:rsidP="00CE25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4AC5" w:rsidRDefault="00A64AC5" w:rsidP="00CE25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AD8" w:rsidRDefault="00983F56" w:rsidP="00CE7A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Ақ қайың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>
        <w:rPr>
          <w:rFonts w:ascii="Times New Roman" w:hAnsi="Times New Roman" w:cs="Times New Roman"/>
          <w:sz w:val="28"/>
          <w:szCs w:val="28"/>
          <w:lang w:val="kk-KZ"/>
        </w:rPr>
        <w:t>медициналық-сауықтыру кешені,</w:t>
      </w:r>
    </w:p>
    <w:p w:rsidR="00BA3582" w:rsidRDefault="00BA3582" w:rsidP="00CE2541">
      <w:pPr>
        <w:rPr>
          <w:lang w:val="kk-KZ"/>
        </w:rPr>
      </w:pPr>
    </w:p>
    <w:p w:rsidR="00CE2541" w:rsidRPr="00CE2541" w:rsidRDefault="00CE2541" w:rsidP="00CE2541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ahoma" w:eastAsia="Times New Roman" w:hAnsi="Tahoma" w:cs="Tahoma"/>
          <w:noProof/>
          <w:color w:val="183C4F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76500" cy="1323975"/>
            <wp:effectExtent l="0" t="0" r="0" b="0"/>
            <wp:docPr id="6" name="Рисунок 6" descr="http://visitkazakhstan.kz/uploads/img/thumb_130819908463_ho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sitkazakhstan.kz/uploads/img/thumb_130819908463_ho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82" w:rsidRDefault="00BA3582" w:rsidP="00CE25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AD8" w:rsidRDefault="00983F56" w:rsidP="00CE7AD8">
      <w:pPr>
        <w:shd w:val="clear" w:color="auto" w:fill="ECECEC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Altyn Kargaly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 w:rsidRPr="00047AAD">
        <w:rPr>
          <w:rFonts w:ascii="Times New Roman" w:hAnsi="Times New Roman" w:cs="Times New Roman"/>
          <w:sz w:val="28"/>
          <w:szCs w:val="28"/>
          <w:lang w:val="kk-KZ"/>
        </w:rPr>
        <w:t xml:space="preserve">отель-шипажайы, </w:t>
      </w:r>
    </w:p>
    <w:p w:rsidR="00BA3582" w:rsidRDefault="00BA3582" w:rsidP="00CE25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3582" w:rsidRDefault="00CE2541" w:rsidP="00CE25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ahoma" w:hAnsi="Tahoma" w:cs="Tahoma"/>
          <w:noProof/>
          <w:color w:val="183C4F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62225" cy="1638300"/>
            <wp:effectExtent l="0" t="0" r="0" b="0"/>
            <wp:docPr id="8" name="Рисунок 8" descr="http://visitkazakhstan.kz/uploads/img/thumb_128705233735_hote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sitkazakhstan.kz/uploads/img/thumb_128705233735_hote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D8" w:rsidRDefault="00CE7AD8" w:rsidP="00CE7AD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AD8" w:rsidRDefault="00CE7AD8" w:rsidP="00CE7AD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AD8" w:rsidRDefault="00983F56" w:rsidP="00CE7AD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Көктем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 w:rsidRPr="00047AAD">
        <w:rPr>
          <w:rFonts w:ascii="Times New Roman" w:hAnsi="Times New Roman" w:cs="Times New Roman"/>
          <w:sz w:val="28"/>
          <w:szCs w:val="28"/>
          <w:lang w:val="kk-KZ"/>
        </w:rPr>
        <w:t xml:space="preserve">шипажайы, </w:t>
      </w:r>
    </w:p>
    <w:p w:rsidR="00BA3582" w:rsidRDefault="00BA3582" w:rsidP="00BA3582">
      <w:pPr>
        <w:shd w:val="clear" w:color="auto" w:fill="ECECEC"/>
        <w:rPr>
          <w:rFonts w:ascii="Times New Roman" w:hAnsi="Times New Roman" w:cs="Times New Roman"/>
          <w:sz w:val="28"/>
          <w:szCs w:val="28"/>
          <w:lang w:val="kk-KZ"/>
        </w:rPr>
      </w:pPr>
    </w:p>
    <w:p w:rsidR="00BA3582" w:rsidRPr="00CE7AD8" w:rsidRDefault="00BA3582" w:rsidP="00BA3582">
      <w:pPr>
        <w:shd w:val="clear" w:color="auto" w:fill="ECECEC"/>
        <w:rPr>
          <w:rFonts w:ascii="Arial" w:hAnsi="Arial" w:cs="Arial"/>
          <w:color w:val="505050"/>
          <w:lang w:val="kk-KZ"/>
        </w:rPr>
      </w:pPr>
      <w:r>
        <w:rPr>
          <w:rFonts w:ascii="Arial" w:hAnsi="Arial" w:cs="Arial"/>
          <w:noProof/>
          <w:color w:val="505050"/>
          <w:lang w:eastAsia="ru-RU"/>
        </w:rPr>
        <w:drawing>
          <wp:inline distT="0" distB="0" distL="0" distR="0">
            <wp:extent cx="2847975" cy="1876425"/>
            <wp:effectExtent l="0" t="0" r="0" b="0"/>
            <wp:docPr id="2" name="Рисунок 2" descr="Санаторий «Кокте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наторий «Коктем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C5" w:rsidRDefault="00A64AC5" w:rsidP="00CE25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2541" w:rsidRPr="00CE2541" w:rsidRDefault="00983F56" w:rsidP="00CE2541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 w:rsidRPr="00047AAD">
        <w:rPr>
          <w:rFonts w:ascii="Times New Roman" w:hAnsi="Times New Roman" w:cs="Times New Roman"/>
          <w:sz w:val="28"/>
          <w:szCs w:val="28"/>
          <w:lang w:val="kk-KZ"/>
        </w:rPr>
        <w:t>шипажайы</w:t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0"/>
      </w:tblGrid>
      <w:tr w:rsidR="00CE2541" w:rsidRPr="00CE2541" w:rsidTr="00CE2541">
        <w:tc>
          <w:tcPr>
            <w:tcW w:w="2475" w:type="dxa"/>
            <w:shd w:val="clear" w:color="auto" w:fill="auto"/>
            <w:hideMark/>
          </w:tcPr>
          <w:p w:rsidR="00CE2541" w:rsidRPr="00CE2541" w:rsidRDefault="00CE2541" w:rsidP="00CE25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83C4F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943225" cy="1800225"/>
                  <wp:effectExtent l="0" t="0" r="0" b="0"/>
                  <wp:docPr id="11" name="Рисунок 11" descr="http://visitkazakhstan.kz/uploads/img/thumb_140540674175_hotel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isitkazakhstan.kz/uploads/img/thumb_140540674175_hotel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582" w:rsidRDefault="00BA3582" w:rsidP="00CE25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7AD8" w:rsidRDefault="00CE7AD8" w:rsidP="00CE7AD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3582" w:rsidRDefault="00983F56" w:rsidP="00CE25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47AAD">
        <w:rPr>
          <w:rFonts w:ascii="Times New Roman" w:hAnsi="Times New Roman" w:cs="Times New Roman"/>
          <w:sz w:val="28"/>
          <w:szCs w:val="28"/>
          <w:lang w:val="kk-KZ"/>
        </w:rPr>
        <w:t>Қарғалы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7AD8">
        <w:rPr>
          <w:rFonts w:ascii="Times New Roman" w:hAnsi="Times New Roman" w:cs="Times New Roman"/>
          <w:sz w:val="28"/>
          <w:szCs w:val="28"/>
          <w:lang w:val="kk-KZ"/>
        </w:rPr>
        <w:t xml:space="preserve">пансионаты, </w:t>
      </w:r>
    </w:p>
    <w:p w:rsidR="00CE7AD8" w:rsidRPr="00201DC9" w:rsidRDefault="00CE2541" w:rsidP="00BA35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ahoma" w:eastAsia="Times New Roman" w:hAnsi="Tahoma" w:cs="Tahoma"/>
          <w:noProof/>
          <w:color w:val="183C4F"/>
          <w:sz w:val="17"/>
          <w:szCs w:val="1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47925" cy="1362075"/>
            <wp:effectExtent l="0" t="0" r="0" b="0"/>
            <wp:docPr id="13" name="Рисунок 13" descr="http://visitkazakhstan.kz/uploads/img/thumb_13085436575_hote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isitkazakhstan.kz/uploads/img/thumb_13085436575_hote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82" w:rsidRPr="00CE7AD8" w:rsidRDefault="00CE7AD8" w:rsidP="00BA358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A3582">
        <w:rPr>
          <w:rFonts w:ascii="Times New Roman" w:hAnsi="Times New Roman" w:cs="Times New Roman"/>
          <w:sz w:val="28"/>
          <w:szCs w:val="28"/>
          <w:lang w:val="kk-KZ"/>
        </w:rPr>
        <w:t>Ақбаста</w:t>
      </w:r>
      <w:r w:rsidR="00B66EA4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66E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сауықтыру пансионаты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A64AC5" w:rsidRPr="007B11FB" w:rsidRDefault="00983F56" w:rsidP="00201DC9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A3582"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  <w:t xml:space="preserve">ау» </w:t>
      </w:r>
      <w:r w:rsidR="00BA35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666875"/>
            <wp:effectExtent l="0" t="0" r="0" b="0"/>
            <wp:docPr id="7" name="Рисунок 7" descr="Ак Бастау - Оздоровительный пансио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к Бастау - Оздоровительный пансиона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EA4"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  <w:t>сссс</w:t>
      </w:r>
      <w:r w:rsidR="00BA3582" w:rsidRPr="00BA3582"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  <w:t>сионаты</w:t>
      </w:r>
      <w:r w:rsidR="00B66EA4"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  <w:t>сауықтыру пансионаты</w:t>
      </w:r>
    </w:p>
    <w:p w:rsidR="00CE7AD8" w:rsidRPr="00CE7AD8" w:rsidRDefault="00CE7AD8" w:rsidP="00CE7AD8">
      <w:pPr>
        <w:pStyle w:val="1"/>
        <w:shd w:val="clear" w:color="auto" w:fill="FFFFFF"/>
        <w:spacing w:before="0" w:beforeAutospacing="0" w:after="150" w:afterAutospacing="0"/>
        <w:rPr>
          <w:b w:val="0"/>
          <w:bCs w:val="0"/>
          <w:color w:val="333333"/>
          <w:sz w:val="30"/>
          <w:szCs w:val="30"/>
          <w:lang w:val="kk-KZ"/>
        </w:rPr>
      </w:pPr>
      <w:r>
        <w:rPr>
          <w:b w:val="0"/>
          <w:bCs w:val="0"/>
          <w:color w:val="333333"/>
          <w:sz w:val="28"/>
          <w:szCs w:val="28"/>
          <w:lang w:val="kk-KZ"/>
        </w:rPr>
        <w:t xml:space="preserve"> «</w:t>
      </w:r>
      <w:r w:rsidR="00B66EA4" w:rsidRPr="00B66EA4">
        <w:rPr>
          <w:b w:val="0"/>
          <w:bCs w:val="0"/>
          <w:color w:val="333333"/>
          <w:sz w:val="28"/>
          <w:szCs w:val="28"/>
          <w:lang w:val="kk-KZ"/>
        </w:rPr>
        <w:t>Саумалы перзент</w:t>
      </w:r>
      <w:r>
        <w:rPr>
          <w:b w:val="0"/>
          <w:bCs w:val="0"/>
          <w:color w:val="333333"/>
          <w:sz w:val="28"/>
          <w:szCs w:val="28"/>
          <w:lang w:val="kk-KZ"/>
        </w:rPr>
        <w:t>»</w:t>
      </w:r>
      <w:r w:rsidRPr="00CE7AD8">
        <w:rPr>
          <w:b w:val="0"/>
          <w:bCs w:val="0"/>
          <w:color w:val="333333"/>
          <w:sz w:val="30"/>
          <w:szCs w:val="30"/>
          <w:lang w:val="kk-KZ"/>
        </w:rPr>
        <w:t xml:space="preserve"> саумалымен </w:t>
      </w:r>
      <w:r>
        <w:rPr>
          <w:b w:val="0"/>
          <w:bCs w:val="0"/>
          <w:color w:val="333333"/>
          <w:sz w:val="30"/>
          <w:szCs w:val="30"/>
          <w:lang w:val="kk-KZ"/>
        </w:rPr>
        <w:t>емдеу</w:t>
      </w:r>
      <w:r w:rsidRPr="00CE7AD8">
        <w:rPr>
          <w:b w:val="0"/>
          <w:bCs w:val="0"/>
          <w:color w:val="333333"/>
          <w:sz w:val="30"/>
          <w:szCs w:val="30"/>
          <w:lang w:val="kk-KZ"/>
        </w:rPr>
        <w:t xml:space="preserve"> орталығы,</w:t>
      </w:r>
    </w:p>
    <w:p w:rsidR="00BA3582" w:rsidRDefault="00BA3582" w:rsidP="00BA3582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33333"/>
          <w:sz w:val="30"/>
          <w:szCs w:val="30"/>
          <w:lang w:val="kk-KZ"/>
        </w:rPr>
      </w:pPr>
      <w:r>
        <w:rPr>
          <w:rFonts w:ascii="Arial" w:hAnsi="Arial" w:cs="Arial"/>
          <w:b w:val="0"/>
          <w:bCs w:val="0"/>
          <w:noProof/>
          <w:color w:val="333333"/>
          <w:sz w:val="30"/>
          <w:szCs w:val="30"/>
        </w:rPr>
        <w:drawing>
          <wp:inline distT="0" distB="0" distL="0" distR="0">
            <wp:extent cx="3257550" cy="1295400"/>
            <wp:effectExtent l="0" t="0" r="0" b="0"/>
            <wp:docPr id="1" name="Рисунок 1" descr="Центр лечения  Саумалы Перз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лечения  Саумалы Перзен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C5" w:rsidRDefault="00A64AC5" w:rsidP="00E61234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023" w:rsidRPr="00201DC9" w:rsidRDefault="00210DC4" w:rsidP="00E61234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Жас ерекшеліктеріне келетін болсақ,25 жасқа дейінгі адамдар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2,6% </w:t>
      </w:r>
      <w:r w:rsidRPr="00201DC9">
        <w:rPr>
          <w:rFonts w:ascii="Times New Roman" w:hAnsi="Times New Roman" w:cs="Times New Roman"/>
          <w:sz w:val="36"/>
          <w:szCs w:val="36"/>
          <w:lang w:val="kk-KZ"/>
        </w:rPr>
        <w:t>құрайды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26 </w:t>
      </w:r>
      <w:r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мен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35 </w:t>
      </w:r>
      <w:r w:rsidRPr="00201DC9">
        <w:rPr>
          <w:rFonts w:ascii="Times New Roman" w:hAnsi="Times New Roman" w:cs="Times New Roman"/>
          <w:sz w:val="36"/>
          <w:szCs w:val="36"/>
          <w:lang w:val="kk-KZ"/>
        </w:rPr>
        <w:t>жас арасындағылар - 8%,</w:t>
      </w:r>
      <w:r w:rsidR="00964A28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 36-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45 </w:t>
      </w:r>
      <w:r w:rsidR="00964A28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жас арасындағылар - 5,4%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964A28" w:rsidRPr="00201DC9">
        <w:rPr>
          <w:rFonts w:ascii="Times New Roman" w:hAnsi="Times New Roman" w:cs="Times New Roman"/>
          <w:sz w:val="36"/>
          <w:szCs w:val="36"/>
          <w:lang w:val="kk-KZ"/>
        </w:rPr>
        <w:t>46-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55 </w:t>
      </w:r>
      <w:r w:rsidR="00964A28" w:rsidRPr="00201DC9">
        <w:rPr>
          <w:rFonts w:ascii="Times New Roman" w:hAnsi="Times New Roman" w:cs="Times New Roman"/>
          <w:sz w:val="36"/>
          <w:szCs w:val="36"/>
          <w:lang w:val="kk-KZ"/>
        </w:rPr>
        <w:t>жас арасындағылар - 21%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 </w:t>
      </w:r>
      <w:r w:rsidR="00964A28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жасы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>55</w:t>
      </w:r>
      <w:r w:rsidR="00964A28" w:rsidRPr="00201DC9">
        <w:rPr>
          <w:rFonts w:ascii="Times New Roman" w:hAnsi="Times New Roman" w:cs="Times New Roman"/>
          <w:sz w:val="36"/>
          <w:szCs w:val="36"/>
          <w:lang w:val="kk-KZ"/>
        </w:rPr>
        <w:t>-тен жоғары адамдар 63% құрайды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.74% </w:t>
      </w:r>
      <w:r w:rsidR="005D4F27" w:rsidRPr="00201DC9">
        <w:rPr>
          <w:rFonts w:ascii="Times New Roman" w:hAnsi="Times New Roman" w:cs="Times New Roman"/>
          <w:sz w:val="36"/>
          <w:szCs w:val="36"/>
          <w:lang w:val="kk-KZ"/>
        </w:rPr>
        <w:t>жауап берушілердің отбасылары бар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26% </w:t>
      </w:r>
      <w:r w:rsidR="005D4F27" w:rsidRPr="00201DC9">
        <w:rPr>
          <w:rFonts w:ascii="Times New Roman" w:hAnsi="Times New Roman" w:cs="Times New Roman"/>
          <w:sz w:val="36"/>
          <w:szCs w:val="36"/>
          <w:lang w:val="kk-KZ"/>
        </w:rPr>
        <w:t>үйленбеген немесе тұрмыс құрмаған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0E5727" w:rsidRPr="00201DC9">
        <w:rPr>
          <w:rFonts w:ascii="Times New Roman" w:hAnsi="Times New Roman" w:cs="Times New Roman"/>
          <w:sz w:val="36"/>
          <w:szCs w:val="36"/>
          <w:lang w:val="kk-KZ"/>
        </w:rPr>
        <w:t>Қызмет атқаратын сала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>сын қарастыратын болсақ</w:t>
      </w:r>
      <w:r w:rsidR="000E5727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 15,8% 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>жауап берушілер мемлекеттік мекемелерде қызмет атқарады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15,7% 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>жеке секторда жұмыс істейді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жауап берушілердің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>13,2%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>-ынжұмыссыздар мен үй шаруасындағы әйелдер құрайды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2,6% 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>оқушылар мен студенттер және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 52,7% </w:t>
      </w:r>
      <w:r w:rsidR="00033A64" w:rsidRPr="00201DC9">
        <w:rPr>
          <w:rFonts w:ascii="Times New Roman" w:hAnsi="Times New Roman" w:cs="Times New Roman"/>
          <w:sz w:val="36"/>
          <w:szCs w:val="36"/>
          <w:lang w:val="kk-KZ"/>
        </w:rPr>
        <w:t>зейнеткерлер болып табылады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.  </w:t>
      </w:r>
      <w:r w:rsidR="00EE056D" w:rsidRPr="00201DC9">
        <w:rPr>
          <w:rFonts w:ascii="Times New Roman" w:hAnsi="Times New Roman" w:cs="Times New Roman"/>
          <w:sz w:val="36"/>
          <w:szCs w:val="36"/>
          <w:lang w:val="kk-KZ"/>
        </w:rPr>
        <w:t>Осыдан көріп отырғанымыздай, шипажайларда демалушылардың көп бөлігін  жасы 55-тен жоғары, зейнеткер, отбасылы, әйел адамдар құрайды.</w:t>
      </w:r>
      <w:r w:rsidR="00D409E4" w:rsidRPr="00201DC9">
        <w:rPr>
          <w:rFonts w:ascii="Times New Roman" w:hAnsi="Times New Roman" w:cs="Times New Roman"/>
          <w:sz w:val="36"/>
          <w:szCs w:val="36"/>
          <w:lang w:val="kk-KZ"/>
        </w:rPr>
        <w:t>Орташа айлық табыстары жауап берушілердің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 79%</w:t>
      </w:r>
      <w:r w:rsidR="00D409E4" w:rsidRPr="00201DC9">
        <w:rPr>
          <w:rFonts w:ascii="Times New Roman" w:hAnsi="Times New Roman" w:cs="Times New Roman"/>
          <w:sz w:val="36"/>
          <w:szCs w:val="36"/>
          <w:lang w:val="kk-KZ"/>
        </w:rPr>
        <w:t>-ында 20000-100000 теңге аралығында болып табылады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. 7,9% </w:t>
      </w:r>
      <w:r w:rsidR="00E965B3" w:rsidRPr="00201DC9">
        <w:rPr>
          <w:rFonts w:ascii="Times New Roman" w:hAnsi="Times New Roman" w:cs="Times New Roman"/>
          <w:sz w:val="36"/>
          <w:szCs w:val="36"/>
          <w:lang w:val="kk-KZ"/>
        </w:rPr>
        <w:t>демалушылардыңорташа айлық табыстары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20000 </w:t>
      </w:r>
      <w:r w:rsidR="00E965B3" w:rsidRPr="00201DC9">
        <w:rPr>
          <w:rFonts w:ascii="Times New Roman" w:hAnsi="Times New Roman" w:cs="Times New Roman"/>
          <w:sz w:val="36"/>
          <w:szCs w:val="36"/>
          <w:lang w:val="kk-KZ"/>
        </w:rPr>
        <w:t>теңгеден төмен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E965B3" w:rsidRPr="00201DC9">
        <w:rPr>
          <w:rFonts w:ascii="Times New Roman" w:hAnsi="Times New Roman" w:cs="Times New Roman"/>
          <w:sz w:val="36"/>
          <w:szCs w:val="36"/>
          <w:lang w:val="kk-KZ"/>
        </w:rPr>
        <w:t>тек қана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 13,1% </w:t>
      </w:r>
      <w:r w:rsidR="00E965B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жауап берушілердіңайлық табысы 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100000 </w:t>
      </w:r>
      <w:r w:rsidR="00E965B3" w:rsidRPr="00201DC9">
        <w:rPr>
          <w:rFonts w:ascii="Times New Roman" w:hAnsi="Times New Roman" w:cs="Times New Roman"/>
          <w:sz w:val="36"/>
          <w:szCs w:val="36"/>
          <w:lang w:val="kk-KZ"/>
        </w:rPr>
        <w:t>теңгеден астам соманы құрайды</w:t>
      </w:r>
      <w:r w:rsidR="006F4023" w:rsidRPr="00201DC9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</w:p>
    <w:p w:rsidR="00A64AC5" w:rsidRPr="00201DC9" w:rsidRDefault="00A64AC5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201DC9" w:rsidRDefault="00201DC9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Pr="007B11FB" w:rsidRDefault="007B11FB" w:rsidP="00201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01DC9" w:rsidRPr="007B11FB" w:rsidRDefault="00201DC9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F4023" w:rsidRPr="00201DC9" w:rsidRDefault="00201DC9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proofErr w:type="gramStart"/>
      <w:r w:rsidRPr="00201DC9">
        <w:rPr>
          <w:rFonts w:ascii="Times New Roman" w:hAnsi="Times New Roman" w:cs="Times New Roman"/>
          <w:sz w:val="40"/>
          <w:szCs w:val="40"/>
          <w:lang w:val="en-US"/>
        </w:rPr>
        <w:lastRenderedPageBreak/>
        <w:t>1</w:t>
      </w:r>
      <w:r w:rsidR="002B64D8" w:rsidRPr="00201DC9">
        <w:rPr>
          <w:rFonts w:ascii="Times New Roman" w:hAnsi="Times New Roman" w:cs="Times New Roman"/>
          <w:sz w:val="40"/>
          <w:szCs w:val="40"/>
          <w:lang w:val="kk-KZ"/>
        </w:rPr>
        <w:t>-</w:t>
      </w:r>
      <w:r w:rsidR="002B64D8" w:rsidRPr="00201DC9">
        <w:rPr>
          <w:rFonts w:ascii="Times New Roman" w:hAnsi="Times New Roman" w:cs="Times New Roman"/>
          <w:sz w:val="44"/>
          <w:szCs w:val="44"/>
          <w:lang w:val="kk-KZ"/>
        </w:rPr>
        <w:t>суретте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2B64D8" w:rsidRPr="00201DC9">
        <w:rPr>
          <w:rFonts w:ascii="Times New Roman" w:hAnsi="Times New Roman" w:cs="Times New Roman"/>
          <w:sz w:val="44"/>
          <w:szCs w:val="44"/>
          <w:lang w:val="kk-KZ"/>
        </w:rPr>
        <w:t>шипажайлық-курорттық мекемені таңдаудағы демалушылардың негізгі себептері көрсетілген</w:t>
      </w:r>
      <w:r w:rsidR="006F4023" w:rsidRPr="00201DC9">
        <w:rPr>
          <w:rFonts w:ascii="Times New Roman" w:hAnsi="Times New Roman" w:cs="Times New Roman"/>
          <w:sz w:val="44"/>
          <w:szCs w:val="44"/>
          <w:lang w:val="kk-KZ"/>
        </w:rPr>
        <w:t>.</w:t>
      </w:r>
      <w:proofErr w:type="gramEnd"/>
      <w:r w:rsidR="006F4023" w:rsidRPr="00201DC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</w:p>
    <w:p w:rsidR="006F4023" w:rsidRPr="00201DC9" w:rsidRDefault="006F4023" w:rsidP="001C2D9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201DC9"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193792" cy="2362810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4023" w:rsidRPr="00201DC9" w:rsidRDefault="0091480B" w:rsidP="00536865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201DC9">
        <w:rPr>
          <w:rFonts w:ascii="Times New Roman" w:hAnsi="Times New Roman" w:cs="Times New Roman"/>
          <w:sz w:val="44"/>
          <w:szCs w:val="44"/>
          <w:lang w:val="kk-KZ"/>
        </w:rPr>
        <w:t>Сурет</w:t>
      </w:r>
      <w:r w:rsidR="00983F56" w:rsidRPr="00201DC9">
        <w:rPr>
          <w:rFonts w:ascii="Times New Roman" w:hAnsi="Times New Roman" w:cs="Times New Roman"/>
          <w:sz w:val="44"/>
          <w:szCs w:val="44"/>
        </w:rPr>
        <w:t xml:space="preserve"> 1</w:t>
      </w:r>
      <w:r w:rsidR="00E35379" w:rsidRPr="00201DC9">
        <w:rPr>
          <w:rFonts w:ascii="Times New Roman" w:hAnsi="Times New Roman" w:cs="Times New Roman"/>
          <w:sz w:val="44"/>
          <w:szCs w:val="44"/>
        </w:rPr>
        <w:t xml:space="preserve"> -</w:t>
      </w:r>
      <w:r w:rsidR="003E5A2B" w:rsidRPr="00201DC9">
        <w:rPr>
          <w:rFonts w:ascii="Times New Roman" w:hAnsi="Times New Roman" w:cs="Times New Roman"/>
          <w:sz w:val="44"/>
          <w:szCs w:val="44"/>
          <w:lang w:val="kk-KZ"/>
        </w:rPr>
        <w:t>Ш</w:t>
      </w:r>
      <w:r w:rsidRPr="00201DC9">
        <w:rPr>
          <w:rFonts w:ascii="Times New Roman" w:hAnsi="Times New Roman" w:cs="Times New Roman"/>
          <w:sz w:val="44"/>
          <w:szCs w:val="44"/>
        </w:rPr>
        <w:t>ипажайлық-курорттық</w:t>
      </w:r>
      <w:r w:rsidR="00201DC9" w:rsidRPr="00201DC9">
        <w:rPr>
          <w:rFonts w:ascii="Times New Roman" w:hAnsi="Times New Roman" w:cs="Times New Roman"/>
          <w:sz w:val="44"/>
          <w:szCs w:val="44"/>
        </w:rPr>
        <w:t xml:space="preserve"> </w:t>
      </w:r>
      <w:r w:rsidRPr="00201DC9">
        <w:rPr>
          <w:rFonts w:ascii="Times New Roman" w:hAnsi="Times New Roman" w:cs="Times New Roman"/>
          <w:sz w:val="44"/>
          <w:szCs w:val="44"/>
        </w:rPr>
        <w:t>мекеменітаңдаудағы</w:t>
      </w:r>
      <w:r w:rsidR="00201DC9" w:rsidRPr="00201DC9">
        <w:rPr>
          <w:rFonts w:ascii="Times New Roman" w:hAnsi="Times New Roman" w:cs="Times New Roman"/>
          <w:sz w:val="44"/>
          <w:szCs w:val="44"/>
        </w:rPr>
        <w:t xml:space="preserve"> </w:t>
      </w:r>
      <w:r w:rsidR="00536865" w:rsidRPr="00201DC9">
        <w:rPr>
          <w:rFonts w:ascii="Times New Roman" w:hAnsi="Times New Roman" w:cs="Times New Roman"/>
          <w:sz w:val="44"/>
          <w:szCs w:val="44"/>
          <w:lang w:val="kk-KZ"/>
        </w:rPr>
        <w:t>д</w:t>
      </w:r>
      <w:r w:rsidRPr="00201DC9">
        <w:rPr>
          <w:rFonts w:ascii="Times New Roman" w:hAnsi="Times New Roman" w:cs="Times New Roman"/>
          <w:sz w:val="44"/>
          <w:szCs w:val="44"/>
        </w:rPr>
        <w:t>емалушылардың</w:t>
      </w:r>
      <w:r w:rsidR="00201DC9" w:rsidRPr="00201DC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01DC9">
        <w:rPr>
          <w:rFonts w:ascii="Times New Roman" w:hAnsi="Times New Roman" w:cs="Times New Roman"/>
          <w:sz w:val="44"/>
          <w:szCs w:val="44"/>
        </w:rPr>
        <w:t>негізгі</w:t>
      </w:r>
      <w:proofErr w:type="spellEnd"/>
      <w:r w:rsidR="00201DC9" w:rsidRPr="00201DC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01DC9">
        <w:rPr>
          <w:rFonts w:ascii="Times New Roman" w:hAnsi="Times New Roman" w:cs="Times New Roman"/>
          <w:sz w:val="44"/>
          <w:szCs w:val="44"/>
        </w:rPr>
        <w:t>себептері</w:t>
      </w:r>
      <w:proofErr w:type="spellEnd"/>
    </w:p>
    <w:p w:rsidR="006F4023" w:rsidRPr="00201DC9" w:rsidRDefault="0091480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201DC9">
        <w:rPr>
          <w:rFonts w:ascii="Times New Roman" w:hAnsi="Times New Roman" w:cs="Times New Roman"/>
          <w:sz w:val="44"/>
          <w:szCs w:val="44"/>
          <w:lang w:val="kk-KZ"/>
        </w:rPr>
        <w:t>Ескерту</w:t>
      </w:r>
      <w:r w:rsidR="006F4023" w:rsidRPr="00201DC9">
        <w:rPr>
          <w:rFonts w:ascii="Times New Roman" w:hAnsi="Times New Roman" w:cs="Times New Roman"/>
          <w:sz w:val="44"/>
          <w:szCs w:val="44"/>
        </w:rPr>
        <w:t xml:space="preserve">: </w:t>
      </w:r>
      <w:r w:rsidRPr="00201DC9">
        <w:rPr>
          <w:rFonts w:ascii="Times New Roman" w:hAnsi="Times New Roman" w:cs="Times New Roman"/>
          <w:sz w:val="44"/>
          <w:szCs w:val="44"/>
          <w:lang w:val="kk-KZ"/>
        </w:rPr>
        <w:t>Зерттеу негізінде автормен құрастырылды</w:t>
      </w:r>
    </w:p>
    <w:p w:rsidR="006F4023" w:rsidRPr="00201DC9" w:rsidRDefault="006F4023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B11FB" w:rsidRDefault="007B11FB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01DC9" w:rsidRPr="007B11FB" w:rsidRDefault="00A31272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22BCF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Зерттеудің келесі </w:t>
      </w:r>
      <w:r w:rsidR="002C3266">
        <w:rPr>
          <w:rFonts w:ascii="Times New Roman" w:hAnsi="Times New Roman" w:cs="Times New Roman"/>
          <w:sz w:val="28"/>
          <w:szCs w:val="24"/>
          <w:lang w:val="kk-KZ"/>
        </w:rPr>
        <w:t>бөлімінде</w:t>
      </w:r>
      <w:r w:rsidR="00201DC9" w:rsidRPr="00201DC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22BCF">
        <w:rPr>
          <w:rFonts w:ascii="Times New Roman" w:hAnsi="Times New Roman" w:cs="Times New Roman"/>
          <w:sz w:val="28"/>
          <w:szCs w:val="24"/>
          <w:lang w:val="kk-KZ"/>
        </w:rPr>
        <w:t>әлеуметтік сауалнама арқылы Алматы облысының шипажайлық-курорттық мекемелерінде ұсынылатын қызметтердің сапасына баға берілді. Ол үшін әр демалушыға шипажайда көрсетілетін қызметтерді</w:t>
      </w:r>
      <w:r w:rsidR="0081595C">
        <w:rPr>
          <w:rFonts w:ascii="Times New Roman" w:hAnsi="Times New Roman" w:cs="Times New Roman"/>
          <w:sz w:val="28"/>
          <w:szCs w:val="24"/>
          <w:lang w:val="kk-KZ"/>
        </w:rPr>
        <w:t>ң сапасын</w:t>
      </w:r>
      <w:r w:rsidR="00201DC9" w:rsidRPr="00201DC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22BCF">
        <w:rPr>
          <w:rFonts w:ascii="Times New Roman" w:hAnsi="Times New Roman" w:cs="Times New Roman"/>
          <w:sz w:val="28"/>
          <w:szCs w:val="24"/>
          <w:lang w:val="kk-KZ"/>
        </w:rPr>
        <w:t>5-баллдық  жүйемен бағалау ұсынылды.</w:t>
      </w:r>
    </w:p>
    <w:p w:rsidR="00201DC9" w:rsidRPr="007B11FB" w:rsidRDefault="00201DC9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F4023" w:rsidRPr="00722BCF" w:rsidRDefault="00A31272" w:rsidP="00C1200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22BCF">
        <w:rPr>
          <w:rFonts w:ascii="Times New Roman" w:hAnsi="Times New Roman" w:cs="Times New Roman"/>
          <w:sz w:val="28"/>
          <w:szCs w:val="24"/>
          <w:lang w:val="kk-KZ"/>
        </w:rPr>
        <w:t xml:space="preserve">Сауалнама нәтижелері </w:t>
      </w:r>
      <w:r w:rsidRPr="0081595C">
        <w:rPr>
          <w:rFonts w:ascii="Times New Roman" w:hAnsi="Times New Roman" w:cs="Times New Roman"/>
          <w:sz w:val="28"/>
          <w:szCs w:val="24"/>
          <w:lang w:val="kk-KZ"/>
        </w:rPr>
        <w:t>2-</w:t>
      </w:r>
      <w:r w:rsidRPr="00722BCF">
        <w:rPr>
          <w:rFonts w:ascii="Times New Roman" w:hAnsi="Times New Roman" w:cs="Times New Roman"/>
          <w:sz w:val="28"/>
          <w:szCs w:val="24"/>
          <w:lang w:val="kk-KZ"/>
        </w:rPr>
        <w:t>суретте диаграмма түрінде көрініс тапқан.</w:t>
      </w:r>
    </w:p>
    <w:p w:rsidR="00201DC9" w:rsidRPr="00201DC9" w:rsidRDefault="006F4023" w:rsidP="00201DC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70895" cy="341194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F4023" w:rsidRPr="007B11FB" w:rsidRDefault="00E808D0" w:rsidP="004A168F">
      <w:pPr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595C">
        <w:rPr>
          <w:rFonts w:ascii="Times New Roman" w:hAnsi="Times New Roman" w:cs="Times New Roman"/>
          <w:sz w:val="28"/>
          <w:szCs w:val="28"/>
          <w:lang w:val="kk-KZ"/>
        </w:rPr>
        <w:t>Сурет</w:t>
      </w:r>
      <w:r w:rsidR="00983F56" w:rsidRPr="007B11F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E7E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1595C" w:rsidRPr="0081595C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81595C" w:rsidRPr="0081595C">
        <w:rPr>
          <w:rFonts w:ascii="Times New Roman" w:hAnsi="Times New Roman" w:cs="Times New Roman"/>
          <w:sz w:val="28"/>
          <w:szCs w:val="28"/>
        </w:rPr>
        <w:t>ипажайдакөрсетілетінқызметтердіңсапасынбағалау</w:t>
      </w:r>
    </w:p>
    <w:p w:rsidR="006F4023" w:rsidRPr="0081595C" w:rsidRDefault="0081595C" w:rsidP="004A168F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595C">
        <w:rPr>
          <w:rFonts w:ascii="Times New Roman" w:hAnsi="Times New Roman" w:cs="Times New Roman"/>
          <w:sz w:val="24"/>
          <w:szCs w:val="28"/>
          <w:lang w:val="kk-KZ"/>
        </w:rPr>
        <w:t>Ескерту</w:t>
      </w:r>
      <w:r w:rsidR="006F4023" w:rsidRPr="007B11FB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Pr="0081595C">
        <w:rPr>
          <w:rFonts w:ascii="Times New Roman" w:hAnsi="Times New Roman" w:cs="Times New Roman"/>
          <w:sz w:val="24"/>
          <w:szCs w:val="28"/>
          <w:lang w:val="kk-KZ"/>
        </w:rPr>
        <w:t>Зерттеу негізінде автормен құрастырылған</w:t>
      </w:r>
    </w:p>
    <w:p w:rsidR="006F4023" w:rsidRPr="007B11FB" w:rsidRDefault="006F4023" w:rsidP="004A168F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2684" w:rsidRPr="007B11FB" w:rsidRDefault="00292684" w:rsidP="001C2D91">
      <w:pPr>
        <w:tabs>
          <w:tab w:val="left" w:pos="426"/>
        </w:tabs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92684" w:rsidRPr="007B11FB" w:rsidSect="0013410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2F" w:rsidRDefault="0046092F" w:rsidP="00137173">
      <w:pPr>
        <w:spacing w:after="0" w:line="240" w:lineRule="auto"/>
      </w:pPr>
      <w:r>
        <w:separator/>
      </w:r>
    </w:p>
  </w:endnote>
  <w:endnote w:type="continuationSeparator" w:id="1">
    <w:p w:rsidR="0046092F" w:rsidRDefault="0046092F" w:rsidP="0013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2F" w:rsidRDefault="0046092F" w:rsidP="00137173">
      <w:pPr>
        <w:spacing w:after="0" w:line="240" w:lineRule="auto"/>
      </w:pPr>
      <w:r>
        <w:separator/>
      </w:r>
    </w:p>
  </w:footnote>
  <w:footnote w:type="continuationSeparator" w:id="1">
    <w:p w:rsidR="0046092F" w:rsidRDefault="0046092F" w:rsidP="0013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334"/>
    <w:multiLevelType w:val="hybridMultilevel"/>
    <w:tmpl w:val="D9681422"/>
    <w:lvl w:ilvl="0" w:tplc="5294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705"/>
    <w:multiLevelType w:val="multilevel"/>
    <w:tmpl w:val="A4D06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993B0D"/>
    <w:multiLevelType w:val="hybridMultilevel"/>
    <w:tmpl w:val="24CC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6627"/>
    <w:multiLevelType w:val="hybridMultilevel"/>
    <w:tmpl w:val="4518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46DA"/>
    <w:multiLevelType w:val="multilevel"/>
    <w:tmpl w:val="B226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D4C58"/>
    <w:multiLevelType w:val="hybridMultilevel"/>
    <w:tmpl w:val="46A6CE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D23DC8"/>
    <w:multiLevelType w:val="hybridMultilevel"/>
    <w:tmpl w:val="E8882B10"/>
    <w:lvl w:ilvl="0" w:tplc="5294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4759D"/>
    <w:multiLevelType w:val="hybridMultilevel"/>
    <w:tmpl w:val="F8160B9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368D0"/>
    <w:multiLevelType w:val="hybridMultilevel"/>
    <w:tmpl w:val="A570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01091"/>
    <w:multiLevelType w:val="hybridMultilevel"/>
    <w:tmpl w:val="E676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07A"/>
    <w:rsid w:val="00001D6C"/>
    <w:rsid w:val="00003CEF"/>
    <w:rsid w:val="000145B2"/>
    <w:rsid w:val="000173EC"/>
    <w:rsid w:val="00033A64"/>
    <w:rsid w:val="000350E5"/>
    <w:rsid w:val="00035A5F"/>
    <w:rsid w:val="0004707A"/>
    <w:rsid w:val="00047AAD"/>
    <w:rsid w:val="000661A1"/>
    <w:rsid w:val="00067340"/>
    <w:rsid w:val="00077DC3"/>
    <w:rsid w:val="00095A96"/>
    <w:rsid w:val="000A36CF"/>
    <w:rsid w:val="000A60D2"/>
    <w:rsid w:val="000D4F4D"/>
    <w:rsid w:val="000D6991"/>
    <w:rsid w:val="000E199C"/>
    <w:rsid w:val="000E5727"/>
    <w:rsid w:val="000F6612"/>
    <w:rsid w:val="000F72EB"/>
    <w:rsid w:val="000F7D91"/>
    <w:rsid w:val="001013F8"/>
    <w:rsid w:val="00111EA9"/>
    <w:rsid w:val="00112803"/>
    <w:rsid w:val="0011587E"/>
    <w:rsid w:val="00115DE1"/>
    <w:rsid w:val="00124E4C"/>
    <w:rsid w:val="00134109"/>
    <w:rsid w:val="00137173"/>
    <w:rsid w:val="00140ACB"/>
    <w:rsid w:val="00147B61"/>
    <w:rsid w:val="001728B7"/>
    <w:rsid w:val="00173283"/>
    <w:rsid w:val="00182BE6"/>
    <w:rsid w:val="00186F14"/>
    <w:rsid w:val="001940FE"/>
    <w:rsid w:val="001A3771"/>
    <w:rsid w:val="001A5EBE"/>
    <w:rsid w:val="001B5937"/>
    <w:rsid w:val="001C2D91"/>
    <w:rsid w:val="001D6A2C"/>
    <w:rsid w:val="001E05B7"/>
    <w:rsid w:val="001E125B"/>
    <w:rsid w:val="001F169A"/>
    <w:rsid w:val="00201BF8"/>
    <w:rsid w:val="00201DC9"/>
    <w:rsid w:val="00202A40"/>
    <w:rsid w:val="002106B9"/>
    <w:rsid w:val="00210DC4"/>
    <w:rsid w:val="00214B42"/>
    <w:rsid w:val="002476F7"/>
    <w:rsid w:val="00251CE3"/>
    <w:rsid w:val="002612C6"/>
    <w:rsid w:val="00275FE5"/>
    <w:rsid w:val="00292684"/>
    <w:rsid w:val="002A065A"/>
    <w:rsid w:val="002B64D8"/>
    <w:rsid w:val="002C0500"/>
    <w:rsid w:val="002C3266"/>
    <w:rsid w:val="002C3F9A"/>
    <w:rsid w:val="00307980"/>
    <w:rsid w:val="00310DF6"/>
    <w:rsid w:val="00314A7C"/>
    <w:rsid w:val="003266D4"/>
    <w:rsid w:val="00340F81"/>
    <w:rsid w:val="003428B6"/>
    <w:rsid w:val="00364FC3"/>
    <w:rsid w:val="003848B5"/>
    <w:rsid w:val="003A3DA8"/>
    <w:rsid w:val="003A443A"/>
    <w:rsid w:val="003B2EDD"/>
    <w:rsid w:val="003B4317"/>
    <w:rsid w:val="003C5D87"/>
    <w:rsid w:val="003D754E"/>
    <w:rsid w:val="003E5A2B"/>
    <w:rsid w:val="003F0CCE"/>
    <w:rsid w:val="00401737"/>
    <w:rsid w:val="004056A0"/>
    <w:rsid w:val="004151B7"/>
    <w:rsid w:val="00416D58"/>
    <w:rsid w:val="00452760"/>
    <w:rsid w:val="0046092F"/>
    <w:rsid w:val="00465C29"/>
    <w:rsid w:val="004755F4"/>
    <w:rsid w:val="00477E02"/>
    <w:rsid w:val="00486FC5"/>
    <w:rsid w:val="004876FD"/>
    <w:rsid w:val="00490D3E"/>
    <w:rsid w:val="004A168F"/>
    <w:rsid w:val="004A20A1"/>
    <w:rsid w:val="004A43EE"/>
    <w:rsid w:val="004A4EDE"/>
    <w:rsid w:val="004A66B0"/>
    <w:rsid w:val="004D5711"/>
    <w:rsid w:val="004E2715"/>
    <w:rsid w:val="004E4A69"/>
    <w:rsid w:val="004E5F4D"/>
    <w:rsid w:val="004F545A"/>
    <w:rsid w:val="00506745"/>
    <w:rsid w:val="00514FF2"/>
    <w:rsid w:val="005329FC"/>
    <w:rsid w:val="00536865"/>
    <w:rsid w:val="00540A79"/>
    <w:rsid w:val="005607E2"/>
    <w:rsid w:val="0056100E"/>
    <w:rsid w:val="00581968"/>
    <w:rsid w:val="005D4F27"/>
    <w:rsid w:val="005E3C0D"/>
    <w:rsid w:val="005E5835"/>
    <w:rsid w:val="005E7145"/>
    <w:rsid w:val="005F2689"/>
    <w:rsid w:val="005F53C0"/>
    <w:rsid w:val="005F68F3"/>
    <w:rsid w:val="00611C30"/>
    <w:rsid w:val="00616DB8"/>
    <w:rsid w:val="006354E8"/>
    <w:rsid w:val="00645075"/>
    <w:rsid w:val="00647A6D"/>
    <w:rsid w:val="00675C54"/>
    <w:rsid w:val="006A24F5"/>
    <w:rsid w:val="006C0871"/>
    <w:rsid w:val="006C4733"/>
    <w:rsid w:val="006C64D8"/>
    <w:rsid w:val="006D0889"/>
    <w:rsid w:val="006D3107"/>
    <w:rsid w:val="006E6516"/>
    <w:rsid w:val="006F1313"/>
    <w:rsid w:val="006F2E89"/>
    <w:rsid w:val="006F4023"/>
    <w:rsid w:val="006F55E6"/>
    <w:rsid w:val="00706A16"/>
    <w:rsid w:val="00712C64"/>
    <w:rsid w:val="00714380"/>
    <w:rsid w:val="00714B77"/>
    <w:rsid w:val="00716FE1"/>
    <w:rsid w:val="00722BCF"/>
    <w:rsid w:val="0073399D"/>
    <w:rsid w:val="00745B84"/>
    <w:rsid w:val="00753087"/>
    <w:rsid w:val="007705F0"/>
    <w:rsid w:val="007762A0"/>
    <w:rsid w:val="00776343"/>
    <w:rsid w:val="007766C5"/>
    <w:rsid w:val="007976F2"/>
    <w:rsid w:val="007B11FB"/>
    <w:rsid w:val="007B570E"/>
    <w:rsid w:val="007B5BA6"/>
    <w:rsid w:val="007B6D59"/>
    <w:rsid w:val="007C2B8F"/>
    <w:rsid w:val="007C3194"/>
    <w:rsid w:val="007D1D3B"/>
    <w:rsid w:val="007D3048"/>
    <w:rsid w:val="007D3E21"/>
    <w:rsid w:val="007E0364"/>
    <w:rsid w:val="007E5C02"/>
    <w:rsid w:val="00802B2B"/>
    <w:rsid w:val="00807A80"/>
    <w:rsid w:val="00814727"/>
    <w:rsid w:val="0081595C"/>
    <w:rsid w:val="00821B2E"/>
    <w:rsid w:val="00824CBE"/>
    <w:rsid w:val="008353D6"/>
    <w:rsid w:val="008479BB"/>
    <w:rsid w:val="008549AE"/>
    <w:rsid w:val="00857F2D"/>
    <w:rsid w:val="00883430"/>
    <w:rsid w:val="00887A65"/>
    <w:rsid w:val="008905FC"/>
    <w:rsid w:val="008A3396"/>
    <w:rsid w:val="008B1817"/>
    <w:rsid w:val="008B5110"/>
    <w:rsid w:val="008C652C"/>
    <w:rsid w:val="008C7AAC"/>
    <w:rsid w:val="008E092B"/>
    <w:rsid w:val="008E0F12"/>
    <w:rsid w:val="00906FB2"/>
    <w:rsid w:val="0091480B"/>
    <w:rsid w:val="0093209C"/>
    <w:rsid w:val="00964A28"/>
    <w:rsid w:val="00965BB8"/>
    <w:rsid w:val="00983F56"/>
    <w:rsid w:val="009B55D3"/>
    <w:rsid w:val="009C5EEF"/>
    <w:rsid w:val="009D388F"/>
    <w:rsid w:val="009E7EA4"/>
    <w:rsid w:val="00A0358C"/>
    <w:rsid w:val="00A1154D"/>
    <w:rsid w:val="00A17089"/>
    <w:rsid w:val="00A31272"/>
    <w:rsid w:val="00A32089"/>
    <w:rsid w:val="00A4280B"/>
    <w:rsid w:val="00A55D7D"/>
    <w:rsid w:val="00A64AC5"/>
    <w:rsid w:val="00A80E40"/>
    <w:rsid w:val="00A8205F"/>
    <w:rsid w:val="00AB4BEF"/>
    <w:rsid w:val="00AB6BFC"/>
    <w:rsid w:val="00AC6A9D"/>
    <w:rsid w:val="00AD35E1"/>
    <w:rsid w:val="00AD3B1A"/>
    <w:rsid w:val="00AD73D8"/>
    <w:rsid w:val="00AE049E"/>
    <w:rsid w:val="00AE299D"/>
    <w:rsid w:val="00AE29D6"/>
    <w:rsid w:val="00AF12FD"/>
    <w:rsid w:val="00B007B1"/>
    <w:rsid w:val="00B1162E"/>
    <w:rsid w:val="00B21BBD"/>
    <w:rsid w:val="00B25C3B"/>
    <w:rsid w:val="00B36242"/>
    <w:rsid w:val="00B470EE"/>
    <w:rsid w:val="00B472E3"/>
    <w:rsid w:val="00B64D76"/>
    <w:rsid w:val="00B66EA4"/>
    <w:rsid w:val="00B72B6F"/>
    <w:rsid w:val="00B759BA"/>
    <w:rsid w:val="00B8017C"/>
    <w:rsid w:val="00B8332C"/>
    <w:rsid w:val="00B96F9F"/>
    <w:rsid w:val="00BA3582"/>
    <w:rsid w:val="00BB0204"/>
    <w:rsid w:val="00BB538B"/>
    <w:rsid w:val="00BC2F0C"/>
    <w:rsid w:val="00BD5DE8"/>
    <w:rsid w:val="00BD61B7"/>
    <w:rsid w:val="00BD7772"/>
    <w:rsid w:val="00BD7C63"/>
    <w:rsid w:val="00C1200A"/>
    <w:rsid w:val="00C12421"/>
    <w:rsid w:val="00C1456B"/>
    <w:rsid w:val="00C151A8"/>
    <w:rsid w:val="00C25529"/>
    <w:rsid w:val="00C31167"/>
    <w:rsid w:val="00C6052B"/>
    <w:rsid w:val="00C83FE6"/>
    <w:rsid w:val="00C86910"/>
    <w:rsid w:val="00C940F7"/>
    <w:rsid w:val="00C9453B"/>
    <w:rsid w:val="00CC21A7"/>
    <w:rsid w:val="00CC76ED"/>
    <w:rsid w:val="00CD2D8E"/>
    <w:rsid w:val="00CE0C2A"/>
    <w:rsid w:val="00CE2541"/>
    <w:rsid w:val="00CE3C32"/>
    <w:rsid w:val="00CE6AE6"/>
    <w:rsid w:val="00CE7AD8"/>
    <w:rsid w:val="00CF33C3"/>
    <w:rsid w:val="00CF5D2F"/>
    <w:rsid w:val="00CF6F2A"/>
    <w:rsid w:val="00CF7961"/>
    <w:rsid w:val="00D17939"/>
    <w:rsid w:val="00D33A01"/>
    <w:rsid w:val="00D409E4"/>
    <w:rsid w:val="00D50576"/>
    <w:rsid w:val="00D52879"/>
    <w:rsid w:val="00D630B0"/>
    <w:rsid w:val="00D657E2"/>
    <w:rsid w:val="00D65B74"/>
    <w:rsid w:val="00D74494"/>
    <w:rsid w:val="00D82EED"/>
    <w:rsid w:val="00D9024E"/>
    <w:rsid w:val="00D9311A"/>
    <w:rsid w:val="00D951CF"/>
    <w:rsid w:val="00DB0ACC"/>
    <w:rsid w:val="00DC50F4"/>
    <w:rsid w:val="00DC5F06"/>
    <w:rsid w:val="00DC7A0E"/>
    <w:rsid w:val="00DC7F15"/>
    <w:rsid w:val="00DD0038"/>
    <w:rsid w:val="00E30982"/>
    <w:rsid w:val="00E35379"/>
    <w:rsid w:val="00E4148F"/>
    <w:rsid w:val="00E5189A"/>
    <w:rsid w:val="00E57F27"/>
    <w:rsid w:val="00E61234"/>
    <w:rsid w:val="00E65ECD"/>
    <w:rsid w:val="00E732F6"/>
    <w:rsid w:val="00E808D0"/>
    <w:rsid w:val="00E80E67"/>
    <w:rsid w:val="00E81E8D"/>
    <w:rsid w:val="00E87415"/>
    <w:rsid w:val="00E965B3"/>
    <w:rsid w:val="00EA3882"/>
    <w:rsid w:val="00EE056D"/>
    <w:rsid w:val="00EE32D8"/>
    <w:rsid w:val="00EF5267"/>
    <w:rsid w:val="00F21275"/>
    <w:rsid w:val="00F25968"/>
    <w:rsid w:val="00F26613"/>
    <w:rsid w:val="00F32237"/>
    <w:rsid w:val="00F34453"/>
    <w:rsid w:val="00F34B30"/>
    <w:rsid w:val="00F45C86"/>
    <w:rsid w:val="00F45D01"/>
    <w:rsid w:val="00F61190"/>
    <w:rsid w:val="00F611EB"/>
    <w:rsid w:val="00F6300B"/>
    <w:rsid w:val="00F80B13"/>
    <w:rsid w:val="00F80B2D"/>
    <w:rsid w:val="00F8195C"/>
    <w:rsid w:val="00F93ADB"/>
    <w:rsid w:val="00FA1823"/>
    <w:rsid w:val="00FA47D8"/>
    <w:rsid w:val="00FA5252"/>
    <w:rsid w:val="00FA70AE"/>
    <w:rsid w:val="00FB0141"/>
    <w:rsid w:val="00FB163C"/>
    <w:rsid w:val="00FB3B33"/>
    <w:rsid w:val="00FD1378"/>
    <w:rsid w:val="00FF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F6"/>
  </w:style>
  <w:style w:type="paragraph" w:styleId="1">
    <w:name w:val="heading 1"/>
    <w:basedOn w:val="a"/>
    <w:link w:val="10"/>
    <w:uiPriority w:val="9"/>
    <w:qFormat/>
    <w:rsid w:val="00BA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4B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F5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53C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AD73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173"/>
  </w:style>
  <w:style w:type="paragraph" w:styleId="aa">
    <w:name w:val="footer"/>
    <w:basedOn w:val="a"/>
    <w:link w:val="ab"/>
    <w:uiPriority w:val="99"/>
    <w:unhideWhenUsed/>
    <w:rsid w:val="0013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7173"/>
  </w:style>
  <w:style w:type="paragraph" w:styleId="ac">
    <w:name w:val="No Spacing"/>
    <w:uiPriority w:val="99"/>
    <w:qFormat/>
    <w:rsid w:val="005F2689"/>
    <w:pPr>
      <w:spacing w:after="0" w:line="240" w:lineRule="auto"/>
    </w:pPr>
  </w:style>
  <w:style w:type="character" w:customStyle="1" w:styleId="ad">
    <w:name w:val="Без интервала Знак"/>
    <w:basedOn w:val="a0"/>
    <w:link w:val="11"/>
    <w:uiPriority w:val="99"/>
    <w:locked/>
    <w:rsid w:val="00490D3E"/>
    <w:rPr>
      <w:rFonts w:ascii="Times New Roman" w:eastAsia="Times New Roman" w:hAnsi="Times New Roman" w:cs="Calibri"/>
    </w:rPr>
  </w:style>
  <w:style w:type="paragraph" w:customStyle="1" w:styleId="11">
    <w:name w:val="Без интервала1"/>
    <w:link w:val="ad"/>
    <w:uiPriority w:val="99"/>
    <w:rsid w:val="00490D3E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e">
    <w:name w:val="Normal (Web)"/>
    <w:basedOn w:val="a"/>
    <w:uiPriority w:val="99"/>
    <w:unhideWhenUsed/>
    <w:rsid w:val="00CE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3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4B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F5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F53C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AD73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3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173"/>
  </w:style>
  <w:style w:type="paragraph" w:styleId="aa">
    <w:name w:val="footer"/>
    <w:basedOn w:val="a"/>
    <w:link w:val="ab"/>
    <w:uiPriority w:val="99"/>
    <w:unhideWhenUsed/>
    <w:rsid w:val="0013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7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554">
          <w:marLeft w:val="0"/>
          <w:marRight w:val="0"/>
          <w:marTop w:val="0"/>
          <w:marBottom w:val="75"/>
          <w:divBdr>
            <w:top w:val="single" w:sz="6" w:space="5" w:color="90EE90"/>
            <w:left w:val="single" w:sz="6" w:space="5" w:color="90EE90"/>
            <w:bottom w:val="single" w:sz="6" w:space="5" w:color="90EE90"/>
            <w:right w:val="single" w:sz="6" w:space="5" w:color="90EE90"/>
          </w:divBdr>
        </w:div>
      </w:divsChild>
    </w:div>
    <w:div w:id="60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668">
          <w:marLeft w:val="0"/>
          <w:marRight w:val="0"/>
          <w:marTop w:val="225"/>
          <w:marBottom w:val="180"/>
          <w:divBdr>
            <w:top w:val="single" w:sz="6" w:space="8" w:color="DEDEDE"/>
            <w:left w:val="single" w:sz="6" w:space="0" w:color="DEDEDE"/>
            <w:bottom w:val="single" w:sz="6" w:space="0" w:color="DEDEDE"/>
            <w:right w:val="single" w:sz="6" w:space="8" w:color="DEDEDE"/>
          </w:divBdr>
          <w:divsChild>
            <w:div w:id="10162766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28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320">
                  <w:marLeft w:val="0"/>
                  <w:marRight w:val="0"/>
                  <w:marTop w:val="0"/>
                  <w:marBottom w:val="0"/>
                  <w:divBdr>
                    <w:top w:val="single" w:sz="6" w:space="0" w:color="DBDFE0"/>
                    <w:left w:val="single" w:sz="6" w:space="11" w:color="DBDFE0"/>
                    <w:bottom w:val="single" w:sz="6" w:space="9" w:color="DBDFE0"/>
                    <w:right w:val="single" w:sz="6" w:space="1" w:color="DBDFE0"/>
                  </w:divBdr>
                  <w:divsChild>
                    <w:div w:id="801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kazakhstan.kz/uploads/img/149872962936_hotel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visitkazakhstan.kz/kk/guide/sanatoriums/view/347/sanatoriy-ak-kayin/" TargetMode="External"/><Relationship Id="rId17" Type="http://schemas.openxmlformats.org/officeDocument/2006/relationships/hyperlink" Target="http://visitkazakhstan.kz/kk/guide/sanatoriums/view/371/sanatoriy-kazahsta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1.xml"/><Relationship Id="rId10" Type="http://schemas.openxmlformats.org/officeDocument/2006/relationships/hyperlink" Target="http://visitkazakhstan.kz/kk/guide/sanatoriums/view/356/canatoriy-alatau/" TargetMode="External"/><Relationship Id="rId19" Type="http://schemas.openxmlformats.org/officeDocument/2006/relationships/hyperlink" Target="http://visitkazakhstan.kz/uploads/img/13085436575_hote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visitkazakhstan.kz/kk/guide/sanatoriums/view/233/sanatoriy-altin-kargali/" TargetMode="External"/><Relationship Id="rId22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9423555998229451E-2"/>
          <c:y val="9.0298806801776224E-2"/>
          <c:w val="0.41468868718205176"/>
          <c:h val="0.787785208712141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медициналық қызметтің жоғарғы сапасы - 31%</c:v>
                </c:pt>
                <c:pt idx="1">
                  <c:v> шипажайдың қолайлы орналасуы - 34%</c:v>
                </c:pt>
                <c:pt idx="2">
                  <c:v>минералды ресурстар мен  ұсынылатын қызметтердің кең ауқымы - 20%</c:v>
                </c:pt>
                <c:pt idx="3">
                  <c:v>төмен бағалар, кәсіподақ жолдамалары - 9%</c:v>
                </c:pt>
                <c:pt idx="4">
                  <c:v> шипажайдың имиджі - 3%</c:v>
                </c:pt>
                <c:pt idx="5">
                  <c:v>өзге себептер - 3%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120</c:v>
                </c:pt>
                <c:pt idx="1">
                  <c:v>130</c:v>
                </c:pt>
                <c:pt idx="2">
                  <c:v>75</c:v>
                </c:pt>
                <c:pt idx="3">
                  <c:v>35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809543268271784"/>
          <c:y val="4.1590113735783023E-2"/>
          <c:w val="0.53113583997947345"/>
          <c:h val="0.9327696315110406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максималды көрсеткіш</c:v>
                </c:pt>
              </c:strCache>
            </c:strRef>
          </c:tx>
          <c:dLbls>
            <c:delete val="1"/>
          </c:dLbls>
          <c:cat>
            <c:strRef>
              <c:f>Лист1!$A$2:$A$8</c:f>
              <c:strCache>
                <c:ptCount val="7"/>
                <c:pt idx="0">
                  <c:v>Қарсы алудың ұйымдастырылуы, тіркеу</c:v>
                </c:pt>
                <c:pt idx="1">
                  <c:v>Орналастыру</c:v>
                </c:pt>
                <c:pt idx="2">
                  <c:v>Медициналық қызмет көрсету</c:v>
                </c:pt>
                <c:pt idx="3">
                  <c:v>Тұрмыстық қызмет көрсету</c:v>
                </c:pt>
                <c:pt idx="4">
                  <c:v>Тамақтандыруды ұйымдастыру</c:v>
                </c:pt>
                <c:pt idx="5">
                  <c:v>Мәдени-бұқаралық қызмет көрсету</c:v>
                </c:pt>
                <c:pt idx="6">
                  <c:v>Ағарту жұмыстары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Алматы облысының шипажайлық-курорттық мекемелерінің көрсеткіштері </c:v>
                </c:pt>
              </c:strCache>
            </c:strRef>
          </c:tx>
          <c:dLbls>
            <c:dLbl>
              <c:idx val="0"/>
              <c:layout>
                <c:manualLayout>
                  <c:x val="4.6296296296296519E-3"/>
                  <c:y val="9.5129364075182729E-2"/>
                </c:manualLayout>
              </c:layout>
              <c:showVal val="1"/>
            </c:dLbl>
            <c:dLbl>
              <c:idx val="1"/>
              <c:layout>
                <c:manualLayout>
                  <c:x val="-4.3981481481481573E-2"/>
                  <c:y val="7.1347023056386877E-2"/>
                </c:manualLayout>
              </c:layout>
              <c:showVal val="1"/>
            </c:dLbl>
            <c:dLbl>
              <c:idx val="2"/>
              <c:layout>
                <c:manualLayout>
                  <c:x val="-6.7026950725730824E-2"/>
                  <c:y val="-1.9710515588960489E-2"/>
                </c:manualLayout>
              </c:layout>
              <c:showVal val="1"/>
            </c:dLbl>
            <c:dLbl>
              <c:idx val="3"/>
              <c:layout>
                <c:manualLayout>
                  <c:x val="-3.5030026246008115E-2"/>
                  <c:y val="-0.10291273960073168"/>
                </c:manualLayout>
              </c:layout>
              <c:showVal val="1"/>
            </c:dLbl>
            <c:dLbl>
              <c:idx val="4"/>
              <c:layout>
                <c:manualLayout>
                  <c:x val="3.1689122931340116E-2"/>
                  <c:y val="-0.11091227232959515"/>
                </c:manualLayout>
              </c:layout>
              <c:showVal val="1"/>
            </c:dLbl>
            <c:dLbl>
              <c:idx val="5"/>
              <c:layout>
                <c:manualLayout>
                  <c:x val="6.6667819214444826E-2"/>
                  <c:y val="-1.6089164280601323E-2"/>
                </c:manualLayout>
              </c:layout>
              <c:showVal val="1"/>
            </c:dLbl>
            <c:dLbl>
              <c:idx val="6"/>
              <c:layout>
                <c:manualLayout>
                  <c:x val="5.1079907563291796E-2"/>
                  <c:y val="7.1022727272727321E-2"/>
                </c:manualLayout>
              </c:layout>
              <c:showVal val="1"/>
            </c:dLbl>
            <c:dLbl>
              <c:idx val="7"/>
              <c:layout>
                <c:manualLayout>
                  <c:x val="3.9351851851851853E-2"/>
                  <c:y val="6.341957605012152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Қарсы алудың ұйымдастырылуы, тіркеу</c:v>
                </c:pt>
                <c:pt idx="1">
                  <c:v>Орналастыру</c:v>
                </c:pt>
                <c:pt idx="2">
                  <c:v>Медициналық қызмет көрсету</c:v>
                </c:pt>
                <c:pt idx="3">
                  <c:v>Тұрмыстық қызмет көрсету</c:v>
                </c:pt>
                <c:pt idx="4">
                  <c:v>Тамақтандыруды ұйымдастыру</c:v>
                </c:pt>
                <c:pt idx="5">
                  <c:v>Мәдени-бұқаралық қызмет көрсету</c:v>
                </c:pt>
                <c:pt idx="6">
                  <c:v>Ағарту жұмыстары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4.5</c:v>
                </c:pt>
                <c:pt idx="1">
                  <c:v>4.4000000000000004</c:v>
                </c:pt>
                <c:pt idx="2">
                  <c:v>4.5999999999999996</c:v>
                </c:pt>
                <c:pt idx="3">
                  <c:v>4.5</c:v>
                </c:pt>
                <c:pt idx="4">
                  <c:v>4.7</c:v>
                </c:pt>
                <c:pt idx="5">
                  <c:v>3.8</c:v>
                </c:pt>
                <c:pt idx="6">
                  <c:v>3.6</c:v>
                </c:pt>
              </c:numCache>
            </c:numRef>
          </c:val>
        </c:ser>
        <c:dLbls>
          <c:showVal val="1"/>
        </c:dLbls>
        <c:axId val="56947456"/>
        <c:axId val="56948992"/>
      </c:radarChart>
      <c:catAx>
        <c:axId val="56947456"/>
        <c:scaling>
          <c:orientation val="minMax"/>
        </c:scaling>
        <c:axPos val="b"/>
        <c:majorGridlines/>
        <c:numFmt formatCode="dd/mm/yyyy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948992"/>
        <c:crosses val="autoZero"/>
        <c:auto val="1"/>
        <c:lblAlgn val="ctr"/>
        <c:lblOffset val="100"/>
      </c:catAx>
      <c:valAx>
        <c:axId val="5694899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56947456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8.3216681248177004E-3"/>
          <c:y val="9.9987501562307546E-5"/>
          <c:w val="0.89999996435419494"/>
          <c:h val="6.1818666487711824E-2"/>
        </c:manualLayout>
      </c:layout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FE9077-E61C-4F13-B64D-DC006AF2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238</cp:revision>
  <dcterms:created xsi:type="dcterms:W3CDTF">2016-06-07T06:30:00Z</dcterms:created>
  <dcterms:modified xsi:type="dcterms:W3CDTF">2019-03-29T02:44:00Z</dcterms:modified>
</cp:coreProperties>
</file>